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19FC8" w14:textId="77777777" w:rsidR="00647304" w:rsidRDefault="00647304">
      <w:pPr>
        <w:pBdr>
          <w:top w:val="nil"/>
          <w:left w:val="nil"/>
          <w:bottom w:val="nil"/>
          <w:right w:val="nil"/>
          <w:between w:val="nil"/>
        </w:pBdr>
        <w:tabs>
          <w:tab w:val="left" w:pos="1985"/>
        </w:tabs>
        <w:spacing w:before="120" w:after="120"/>
        <w:ind w:left="1656" w:hanging="720"/>
        <w:rPr>
          <w:rFonts w:ascii="Arial" w:eastAsia="Arial" w:hAnsi="Arial"/>
          <w:b/>
          <w:color w:val="000000"/>
          <w:sz w:val="36"/>
          <w:szCs w:val="36"/>
        </w:rPr>
      </w:pPr>
    </w:p>
    <w:p w14:paraId="70119FC9" w14:textId="77777777" w:rsidR="00647304" w:rsidRPr="00F1512B" w:rsidRDefault="00F1512B">
      <w:pPr>
        <w:keepNext/>
        <w:jc w:val="left"/>
        <w:rPr>
          <w:rFonts w:ascii="Arial" w:eastAsia="Arial" w:hAnsi="Arial"/>
          <w:b/>
          <w:sz w:val="32"/>
          <w:szCs w:val="32"/>
        </w:rPr>
      </w:pPr>
      <w:r w:rsidRPr="00F1512B">
        <w:rPr>
          <w:rFonts w:ascii="Arial" w:eastAsia="Arial" w:hAnsi="Arial"/>
          <w:b/>
          <w:sz w:val="32"/>
          <w:szCs w:val="32"/>
        </w:rPr>
        <w:t>Call-Off Schedule 16 (Benchmarking)</w:t>
      </w:r>
    </w:p>
    <w:p w14:paraId="70119FCA" w14:textId="77777777" w:rsidR="00647304" w:rsidRDefault="00F1512B">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DEFINITIONS</w:t>
      </w:r>
    </w:p>
    <w:p w14:paraId="70119FCB" w14:textId="77777777" w:rsidR="00647304" w:rsidRDefault="00F1512B">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647304" w14:paraId="70119FCE" w14:textId="77777777">
        <w:tc>
          <w:tcPr>
            <w:tcW w:w="2900" w:type="dxa"/>
            <w:shd w:val="clear" w:color="auto" w:fill="auto"/>
          </w:tcPr>
          <w:p w14:paraId="70119FCC" w14:textId="77777777" w:rsidR="00647304" w:rsidRDefault="00F1512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 Review"</w:t>
            </w:r>
          </w:p>
        </w:tc>
        <w:tc>
          <w:tcPr>
            <w:tcW w:w="5142" w:type="dxa"/>
            <w:shd w:val="clear" w:color="auto" w:fill="auto"/>
          </w:tcPr>
          <w:p w14:paraId="70119FCD" w14:textId="77777777" w:rsidR="00647304" w:rsidRDefault="00F1512B">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review of the Deliverables carried out in accordance with this Schedule to determine whether those Deliverables represent Good Value;</w:t>
            </w:r>
          </w:p>
        </w:tc>
      </w:tr>
      <w:tr w:rsidR="00647304" w14:paraId="70119FD1" w14:textId="77777777">
        <w:tc>
          <w:tcPr>
            <w:tcW w:w="2900" w:type="dxa"/>
            <w:shd w:val="clear" w:color="auto" w:fill="auto"/>
          </w:tcPr>
          <w:p w14:paraId="70119FCF" w14:textId="77777777" w:rsidR="00647304" w:rsidRDefault="00F1512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"Benchmarked Deliverables"</w:t>
            </w:r>
          </w:p>
        </w:tc>
        <w:tc>
          <w:tcPr>
            <w:tcW w:w="5142" w:type="dxa"/>
            <w:shd w:val="clear" w:color="auto" w:fill="auto"/>
          </w:tcPr>
          <w:p w14:paraId="70119FD0" w14:textId="77777777" w:rsidR="00647304" w:rsidRDefault="00F1512B">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Deliverables included within the scope of a Benchmark Review pursuant to this Schedule;</w:t>
            </w:r>
          </w:p>
        </w:tc>
      </w:tr>
      <w:tr w:rsidR="00647304" w14:paraId="70119FD4" w14:textId="77777777">
        <w:tc>
          <w:tcPr>
            <w:tcW w:w="2900" w:type="dxa"/>
            <w:shd w:val="clear" w:color="auto" w:fill="auto"/>
          </w:tcPr>
          <w:p w14:paraId="70119FD2" w14:textId="77777777" w:rsidR="00647304" w:rsidRDefault="00F1512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Rates"</w:t>
            </w:r>
          </w:p>
        </w:tc>
        <w:tc>
          <w:tcPr>
            <w:tcW w:w="5142" w:type="dxa"/>
            <w:shd w:val="clear" w:color="auto" w:fill="auto"/>
          </w:tcPr>
          <w:p w14:paraId="70119FD3" w14:textId="77777777" w:rsidR="00647304" w:rsidRDefault="00F1512B">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Charges for Comparable Deliverables;</w:t>
            </w:r>
          </w:p>
        </w:tc>
      </w:tr>
      <w:tr w:rsidR="00647304" w14:paraId="70119FD7" w14:textId="77777777">
        <w:tc>
          <w:tcPr>
            <w:tcW w:w="2900" w:type="dxa"/>
            <w:shd w:val="clear" w:color="auto" w:fill="auto"/>
          </w:tcPr>
          <w:p w14:paraId="70119FD5" w14:textId="77777777" w:rsidR="00647304" w:rsidRDefault="00F1512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Deliverables"</w:t>
            </w:r>
          </w:p>
        </w:tc>
        <w:tc>
          <w:tcPr>
            <w:tcW w:w="5142" w:type="dxa"/>
            <w:shd w:val="clear" w:color="auto" w:fill="auto"/>
          </w:tcPr>
          <w:p w14:paraId="70119FD6" w14:textId="77777777" w:rsidR="00647304" w:rsidRDefault="00F1512B">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647304" w14:paraId="70119FDA" w14:textId="77777777">
        <w:tc>
          <w:tcPr>
            <w:tcW w:w="2900" w:type="dxa"/>
            <w:shd w:val="clear" w:color="auto" w:fill="auto"/>
          </w:tcPr>
          <w:p w14:paraId="70119FD8" w14:textId="77777777" w:rsidR="00647304" w:rsidRDefault="00F1512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"Comparison Group"</w:t>
            </w:r>
          </w:p>
        </w:tc>
        <w:tc>
          <w:tcPr>
            <w:tcW w:w="5142" w:type="dxa"/>
            <w:shd w:val="clear" w:color="auto" w:fill="auto"/>
          </w:tcPr>
          <w:p w14:paraId="70119FD9" w14:textId="77777777" w:rsidR="00647304" w:rsidRDefault="00F1512B">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647304" w14:paraId="70119FDD" w14:textId="77777777">
        <w:tc>
          <w:tcPr>
            <w:tcW w:w="2900" w:type="dxa"/>
            <w:shd w:val="clear" w:color="auto" w:fill="auto"/>
          </w:tcPr>
          <w:p w14:paraId="70119FDB" w14:textId="77777777" w:rsidR="00647304" w:rsidRDefault="00F1512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"Equivalent Data"</w:t>
            </w:r>
          </w:p>
        </w:tc>
        <w:tc>
          <w:tcPr>
            <w:tcW w:w="5142" w:type="dxa"/>
            <w:shd w:val="clear" w:color="auto" w:fill="auto"/>
          </w:tcPr>
          <w:p w14:paraId="70119FDC" w14:textId="77777777" w:rsidR="00647304" w:rsidRDefault="00F1512B">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data derived from an analysis of the Comparable Rates and/or the Comparable Deliverables (as applicable) provided by the Comparison Group;</w:t>
            </w:r>
          </w:p>
        </w:tc>
      </w:tr>
      <w:tr w:rsidR="00647304" w14:paraId="70119FE0" w14:textId="77777777">
        <w:tc>
          <w:tcPr>
            <w:tcW w:w="2900" w:type="dxa"/>
            <w:shd w:val="clear" w:color="auto" w:fill="auto"/>
          </w:tcPr>
          <w:p w14:paraId="70119FDE" w14:textId="77777777" w:rsidR="00647304" w:rsidRDefault="00F1512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"Good Value"</w:t>
            </w:r>
          </w:p>
        </w:tc>
        <w:tc>
          <w:tcPr>
            <w:tcW w:w="5142" w:type="dxa"/>
            <w:shd w:val="clear" w:color="auto" w:fill="auto"/>
          </w:tcPr>
          <w:p w14:paraId="70119FDF" w14:textId="77777777" w:rsidR="00647304" w:rsidRDefault="00F1512B">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that the Benchmarked Rates are within the Upper Quartile; and</w:t>
            </w:r>
          </w:p>
        </w:tc>
      </w:tr>
      <w:tr w:rsidR="00647304" w14:paraId="70119FE3" w14:textId="77777777">
        <w:tc>
          <w:tcPr>
            <w:tcW w:w="2900" w:type="dxa"/>
            <w:shd w:val="clear" w:color="auto" w:fill="auto"/>
          </w:tcPr>
          <w:p w14:paraId="70119FE1" w14:textId="77777777" w:rsidR="00647304" w:rsidRDefault="00F1512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"Upper Quartile"</w:t>
            </w:r>
          </w:p>
        </w:tc>
        <w:tc>
          <w:tcPr>
            <w:tcW w:w="5142" w:type="dxa"/>
            <w:shd w:val="clear" w:color="auto" w:fill="auto"/>
          </w:tcPr>
          <w:p w14:paraId="70119FE2" w14:textId="77777777" w:rsidR="00647304" w:rsidRDefault="00F1512B">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70119FE4" w14:textId="77777777" w:rsidR="00647304" w:rsidRDefault="00F1512B">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When you should use this Schedule</w:t>
      </w:r>
    </w:p>
    <w:p w14:paraId="70119FE5" w14:textId="77777777" w:rsidR="00647304" w:rsidRDefault="00F1512B">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14:paraId="70119FE6" w14:textId="77777777" w:rsidR="00647304" w:rsidRDefault="00F1512B">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14:paraId="70119FE7" w14:textId="77777777" w:rsidR="00647304" w:rsidRDefault="00F1512B">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Amounts payable under this Schedule shall not fall with the definition of a Cost.</w:t>
      </w:r>
    </w:p>
    <w:p w14:paraId="70119FE8" w14:textId="77777777" w:rsidR="00647304" w:rsidRDefault="00F1512B">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14:paraId="70119FE9" w14:textId="77777777" w:rsidR="00647304" w:rsidRDefault="00F1512B">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How benchmarking works</w:t>
      </w:r>
    </w:p>
    <w:p w14:paraId="70119FEA" w14:textId="77777777" w:rsidR="00647304" w:rsidRDefault="00F1512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70119FEB" w14:textId="77777777" w:rsidR="00647304" w:rsidRDefault="00F1512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may, by written notice to the Supplier, require a Benchmark Review of any or all of the Deliverables.</w:t>
      </w:r>
    </w:p>
    <w:p w14:paraId="70119FEC" w14:textId="77777777" w:rsidR="00647304" w:rsidRDefault="00F1512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70119FED" w14:textId="77777777" w:rsidR="00647304" w:rsidRDefault="00F1512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purpose of a Benchmark Review will be to establish whether the Benchmarked Deliverables are, individually and/or as a whole, Good Value.</w:t>
      </w:r>
    </w:p>
    <w:p w14:paraId="70119FEE" w14:textId="77777777" w:rsidR="00647304" w:rsidRDefault="00F1512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Buyer in writing.</w:t>
      </w:r>
    </w:p>
    <w:p w14:paraId="70119FEF" w14:textId="77777777" w:rsidR="00647304" w:rsidRDefault="00F1512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14:paraId="70119FF0" w14:textId="77777777" w:rsidR="00647304" w:rsidRDefault="00F1512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14:paraId="70119FF1" w14:textId="77777777" w:rsidR="00647304" w:rsidRDefault="00F1512B">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Benchmarking Process</w:t>
      </w:r>
    </w:p>
    <w:p w14:paraId="70119FF2" w14:textId="77777777" w:rsidR="00647304" w:rsidRDefault="00F1512B">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The benchmarker shall produce and send to the Buyer, for Approval, a draft plan for the Benchmark Review which must include:</w:t>
      </w:r>
    </w:p>
    <w:p w14:paraId="70119FF3" w14:textId="77777777" w:rsidR="00647304" w:rsidRDefault="00F1512B">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proposed cost and timetable for the Benchmark Review;</w:t>
      </w:r>
    </w:p>
    <w:p w14:paraId="70119FF4" w14:textId="77777777" w:rsidR="00647304" w:rsidRDefault="00F1512B">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14:paraId="70119FF5" w14:textId="77777777" w:rsidR="00647304" w:rsidRDefault="00F1512B">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a description of how the benchmarker will scope and identify the Comparison Group. </w:t>
      </w:r>
    </w:p>
    <w:p w14:paraId="70119FF6" w14:textId="77777777" w:rsidR="00647304" w:rsidRDefault="00F1512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benchmarker, acting reasonably, shall be entitled to use any model to determine the achievement of value for money and to carry out the benchmarking. </w:t>
      </w:r>
    </w:p>
    <w:p w14:paraId="70119FF7" w14:textId="77777777" w:rsidR="00647304" w:rsidRDefault="00F1512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14:paraId="70119FF8" w14:textId="77777777" w:rsidR="00647304" w:rsidRDefault="00F1512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Once both Parties have approved the draft plan then they will notify the benchmarker.  No Party may unreasonably withhold or delay its Approval of the draft plan.</w:t>
      </w:r>
    </w:p>
    <w:p w14:paraId="70119FF9" w14:textId="77777777" w:rsidR="00647304" w:rsidRDefault="00F1512B">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Once it has received the Approval of the draft plan, the benchmarker shall:</w:t>
      </w:r>
    </w:p>
    <w:p w14:paraId="70119FFA" w14:textId="77777777" w:rsidR="00647304" w:rsidRDefault="00F1512B">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finalise the Comparison Group and collect data relating to Comparable Rates. The selection of the Comparable Rates (both in terms of number and identity) shall be a matter for the Supplier's professional judgment using:</w:t>
      </w:r>
    </w:p>
    <w:p w14:paraId="70119FFB" w14:textId="77777777" w:rsidR="00647304" w:rsidRDefault="00F1512B">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market intelligence;</w:t>
      </w:r>
    </w:p>
    <w:p w14:paraId="70119FFC" w14:textId="77777777" w:rsidR="00647304" w:rsidRDefault="00F1512B">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the benchmarker’s own data and experience;</w:t>
      </w:r>
    </w:p>
    <w:p w14:paraId="70119FFD" w14:textId="77777777" w:rsidR="00647304" w:rsidRDefault="00F1512B">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relevant published information; and</w:t>
      </w:r>
    </w:p>
    <w:p w14:paraId="70119FFE" w14:textId="77777777" w:rsidR="00647304" w:rsidRDefault="00F1512B">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pursuant to Paragraph 3.2.6  below, information from other suppliers or purchasers on Comparable Rates;</w:t>
      </w:r>
    </w:p>
    <w:p w14:paraId="70119FFF" w14:textId="77777777" w:rsidR="00647304" w:rsidRDefault="00F1512B">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by applying the adjustment factors listed in Paragraph 3.2.7 and from an analysis of the Comparable Rates, derive the Equivalent Data;</w:t>
      </w:r>
    </w:p>
    <w:p w14:paraId="7011A000" w14:textId="77777777" w:rsidR="00647304" w:rsidRDefault="00F1512B">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using the Equivalent Data, calculate the Upper Quartile;</w:t>
      </w:r>
    </w:p>
    <w:p w14:paraId="7011A001" w14:textId="77777777" w:rsidR="00647304" w:rsidRDefault="00F1512B">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determine whether or not each Benchmarked Rate is, and/or the Benchmarked Rates as a whole are, Good Value.</w:t>
      </w:r>
    </w:p>
    <w:p w14:paraId="7011A002" w14:textId="77777777" w:rsidR="00647304" w:rsidRDefault="00F1512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14:paraId="7011A003" w14:textId="77777777" w:rsidR="00647304" w:rsidRDefault="00F1512B">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carrying out the benchmarking analysis the benchmarker may have regard to the following matters when performing a comparative assessment of the Benchmarked Rates and the Comparable Rates in order to derive Equivalent Data:</w:t>
      </w:r>
    </w:p>
    <w:p w14:paraId="7011A004" w14:textId="77777777" w:rsidR="00647304" w:rsidRDefault="00F1512B">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
    <w:p w14:paraId="7011A005" w14:textId="77777777" w:rsidR="00647304" w:rsidRDefault="00F1512B">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exchange rates;</w:t>
      </w:r>
    </w:p>
    <w:p w14:paraId="7011A006" w14:textId="77777777" w:rsidR="00647304" w:rsidRDefault="00F1512B">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any other factors reasonably identified by the Supplier, which, if not taken into consideration, could unfairly cause the Supplier's pricing to appear non-competitive.</w:t>
      </w:r>
    </w:p>
    <w:p w14:paraId="7011A007" w14:textId="77777777" w:rsidR="00647304" w:rsidRDefault="00F1512B">
      <w:pPr>
        <w:keepNext/>
        <w:numPr>
          <w:ilvl w:val="1"/>
          <w:numId w:val="2"/>
        </w:numPr>
        <w:pBdr>
          <w:top w:val="nil"/>
          <w:left w:val="nil"/>
          <w:bottom w:val="nil"/>
          <w:right w:val="nil"/>
          <w:between w:val="nil"/>
        </w:pBdr>
        <w:tabs>
          <w:tab w:val="left" w:pos="1134"/>
        </w:tabs>
        <w:spacing w:before="120" w:after="120"/>
        <w:ind w:left="648" w:hanging="216"/>
        <w:jc w:val="left"/>
        <w:rPr>
          <w:rFonts w:ascii="Arial" w:eastAsia="Arial" w:hAnsi="Arial"/>
          <w:b/>
          <w:color w:val="000000"/>
          <w:sz w:val="24"/>
          <w:szCs w:val="24"/>
        </w:rPr>
      </w:pPr>
      <w:r>
        <w:rPr>
          <w:rFonts w:ascii="Arial" w:eastAsia="Arial" w:hAnsi="Arial"/>
          <w:b/>
          <w:color w:val="000000"/>
          <w:sz w:val="24"/>
          <w:szCs w:val="24"/>
        </w:rPr>
        <w:t>Benchmarking Report</w:t>
      </w:r>
    </w:p>
    <w:p w14:paraId="7011A008" w14:textId="77777777" w:rsidR="00647304" w:rsidRDefault="00F1512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benchmarker following the Benchmark Review and as further described in this Schedule;</w:t>
      </w:r>
    </w:p>
    <w:p w14:paraId="7011A009" w14:textId="77777777" w:rsidR="00647304" w:rsidRDefault="00F1512B">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benchmarker shall prepare a Benchmarking Report and deliver it to the Buyer, at the time specified in the plan Approved pursuant to Paragraph 3.2.3, setting out its findings.  Those findings shall be required to:</w:t>
      </w:r>
    </w:p>
    <w:p w14:paraId="7011A00A" w14:textId="77777777" w:rsidR="00647304" w:rsidRDefault="00F1512B">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14:paraId="7011A00B" w14:textId="77777777" w:rsidR="00647304" w:rsidRDefault="00F1512B">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7011A00C" w14:textId="77777777" w:rsidR="00647304" w:rsidRDefault="00F1512B">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7011A00D" w14:textId="77777777" w:rsidR="00647304" w:rsidRDefault="00F1512B">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Parties agree that any changes required to this Contract identified in the Benchmarking Report shall be implemented at the direction of the Buyer in accordance with Clause 25 (Changing the contract).</w:t>
      </w:r>
    </w:p>
    <w:sectPr w:rsidR="00647304">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4A14A" w14:textId="77777777" w:rsidR="0068204E" w:rsidRDefault="0068204E">
      <w:pPr>
        <w:spacing w:after="0"/>
      </w:pPr>
      <w:r>
        <w:separator/>
      </w:r>
    </w:p>
  </w:endnote>
  <w:endnote w:type="continuationSeparator" w:id="0">
    <w:p w14:paraId="0DDB8877" w14:textId="77777777" w:rsidR="0068204E" w:rsidRDefault="006820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1A012" w14:textId="77777777" w:rsidR="00647304" w:rsidRDefault="00647304">
    <w:pPr>
      <w:tabs>
        <w:tab w:val="center" w:pos="4513"/>
        <w:tab w:val="right" w:pos="9026"/>
      </w:tabs>
      <w:spacing w:after="0"/>
      <w:rPr>
        <w:rFonts w:ascii="Arial" w:eastAsia="Arial" w:hAnsi="Arial"/>
        <w:sz w:val="20"/>
        <w:szCs w:val="20"/>
      </w:rPr>
    </w:pPr>
  </w:p>
  <w:p w14:paraId="7011A013" w14:textId="77777777" w:rsidR="00647304" w:rsidRDefault="00F1512B">
    <w:pPr>
      <w:tabs>
        <w:tab w:val="center" w:pos="4513"/>
        <w:tab w:val="right" w:pos="9026"/>
      </w:tabs>
      <w:spacing w:after="0"/>
      <w:rPr>
        <w:rFonts w:ascii="Arial" w:eastAsia="Arial" w:hAnsi="Arial"/>
        <w:sz w:val="20"/>
        <w:szCs w:val="20"/>
      </w:rPr>
    </w:pPr>
    <w:r>
      <w:rPr>
        <w:rFonts w:ascii="Arial" w:eastAsia="Arial" w:hAnsi="Arial"/>
        <w:sz w:val="20"/>
        <w:szCs w:val="20"/>
      </w:rPr>
      <w:t>Framework Ref: RM6181</w:t>
    </w:r>
  </w:p>
  <w:p w14:paraId="7011A014" w14:textId="126112A0" w:rsidR="00647304" w:rsidRDefault="00F1512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7011A015" w14:textId="77777777" w:rsidR="00647304" w:rsidRDefault="00F1512B">
    <w:pPr>
      <w:tabs>
        <w:tab w:val="center" w:pos="4513"/>
        <w:tab w:val="right" w:pos="9026"/>
      </w:tabs>
      <w:spacing w:after="0"/>
    </w:pPr>
    <w:r>
      <w:rPr>
        <w:rFonts w:ascii="Arial" w:eastAsia="Arial" w:hAnsi="Arial"/>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1A017" w14:textId="77777777" w:rsidR="00647304" w:rsidRDefault="00F1512B">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14:paraId="7011A018" w14:textId="77777777" w:rsidR="00647304" w:rsidRDefault="00F1512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68204E">
      <w:rPr>
        <w:rFonts w:ascii="Arial" w:eastAsia="Arial" w:hAnsi="Arial"/>
        <w:color w:val="000000"/>
        <w:sz w:val="20"/>
        <w:szCs w:val="20"/>
      </w:rPr>
      <w:fldChar w:fldCharType="separate"/>
    </w:r>
    <w:r>
      <w:rPr>
        <w:rFonts w:ascii="Arial" w:eastAsia="Arial" w:hAnsi="Arial"/>
        <w:color w:val="000000"/>
        <w:sz w:val="20"/>
        <w:szCs w:val="20"/>
      </w:rPr>
      <w:fldChar w:fldCharType="end"/>
    </w:r>
  </w:p>
  <w:p w14:paraId="7011A019" w14:textId="77777777" w:rsidR="00647304" w:rsidRDefault="00F1512B">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FA85C" w14:textId="77777777" w:rsidR="0068204E" w:rsidRDefault="0068204E">
      <w:pPr>
        <w:spacing w:after="0"/>
      </w:pPr>
      <w:r>
        <w:separator/>
      </w:r>
    </w:p>
  </w:footnote>
  <w:footnote w:type="continuationSeparator" w:id="0">
    <w:p w14:paraId="38872A9B" w14:textId="77777777" w:rsidR="0068204E" w:rsidRDefault="006820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1A00E" w14:textId="77777777" w:rsidR="00647304" w:rsidRDefault="00F1512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16 (Benchmarking)</w:t>
    </w:r>
  </w:p>
  <w:p w14:paraId="7011A00F" w14:textId="77777777" w:rsidR="00647304" w:rsidRDefault="00F1512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7011A010" w14:textId="77777777" w:rsidR="00647304" w:rsidRDefault="00F1512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p w14:paraId="7011A011" w14:textId="77777777" w:rsidR="00647304" w:rsidRDefault="00647304">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1A016" w14:textId="77777777" w:rsidR="00647304" w:rsidRDefault="00F1512B">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14:anchorId="7011A01A" wp14:editId="7011A01B">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8127B"/>
    <w:multiLevelType w:val="multilevel"/>
    <w:tmpl w:val="7E528CCA"/>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F2A7962"/>
    <w:multiLevelType w:val="multilevel"/>
    <w:tmpl w:val="C8AAC7FC"/>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304"/>
    <w:rsid w:val="00647304"/>
    <w:rsid w:val="0068204E"/>
    <w:rsid w:val="007F14A9"/>
    <w:rsid w:val="008A2FC4"/>
    <w:rsid w:val="00F151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19FC8"/>
  <w15:docId w15:val="{BB17EBAE-191A-4188-AB92-9CE6486CD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1A882439F723E499D591D7C01441CD7" ma:contentTypeVersion="6" ma:contentTypeDescription="Create a new document." ma:contentTypeScope="" ma:versionID="a079071857d134d40c01bc014544f134">
  <xsd:schema xmlns:xsd="http://www.w3.org/2001/XMLSchema" xmlns:xs="http://www.w3.org/2001/XMLSchema" xmlns:p="http://schemas.microsoft.com/office/2006/metadata/properties" xmlns:ns2="5630402d-52ec-4f27-992b-71fb37df55b2" xmlns:ns3="c3cc7096-bcef-4c02-ac0a-de64dabd5761" targetNamespace="http://schemas.microsoft.com/office/2006/metadata/properties" ma:root="true" ma:fieldsID="9a90a1b3ebcc97136fb9996b828f3d88" ns2:_="" ns3:_="">
    <xsd:import namespace="5630402d-52ec-4f27-992b-71fb37df55b2"/>
    <xsd:import namespace="c3cc7096-bcef-4c02-ac0a-de64dabd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30402d-52ec-4f27-992b-71fb37df5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cc7096-bcef-4c02-ac0a-de64dabd576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gI/ENlaDO9XVWDlEIGVRqgQQ0xaA==">AMUW2mWBOIsEF4kL6vHVQYdhltTBLmLQf8ywnTMmJlLn3BH6nC0O1QLYkwNGvbEEc2ewknziutpO9W3RrQRacs3xB7fK5YZfMSkugEahYcbOQSg8vdNjSNR5vN339Nf5WPJVwEoPDhiqTgZbOd4zpSsIg7OzFXCS6jOjxieYpU/AqIrlkhO0zDZ1qT8C7MNux+OQGMYYo0GH</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FDF3F2-303C-4A9D-832B-3C5D5C3753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3443BB-BEB1-44CB-BDDA-E5B2DDAA9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30402d-52ec-4f27-992b-71fb37df55b2"/>
    <ds:schemaRef ds:uri="c3cc7096-bcef-4c02-ac0a-de64dabd5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6F96FE6-947D-467E-AF03-7F4ECD9BC105}">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58576</vt:lpwstr>
  </property>
  <property fmtid="{D5CDD505-2E9C-101B-9397-08002B2CF9AE}" pid="4" name="OptimizationTime">
    <vt:lpwstr>20220804_1110</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1</Pages>
  <Words>1226</Words>
  <Characters>6990</Characters>
  <Application>Microsoft Office Word</Application>
  <DocSecurity>0</DocSecurity>
  <Lines>58</Lines>
  <Paragraphs>16</Paragraphs>
  <ScaleCrop>false</ScaleCrop>
  <Company/>
  <LinksUpToDate>false</LinksUpToDate>
  <CharactersWithSpaces>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Wood</cp:lastModifiedBy>
  <cp:revision>2</cp:revision>
  <dcterms:created xsi:type="dcterms:W3CDTF">2021-01-21T11:20:00Z</dcterms:created>
  <dcterms:modified xsi:type="dcterms:W3CDTF">2022-08-01T20:32:00Z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0x01010081A882439F723E499D591D7C01441CD7</vt:lpwstr>
  </property>
</Properties>
</file>